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63967" w14:textId="77777777" w:rsidR="00EF3107" w:rsidRDefault="008F3623">
      <w:pPr>
        <w:ind w:firstLine="698"/>
        <w:jc w:val="right"/>
      </w:pPr>
      <w:r>
        <w:rPr>
          <w:rStyle w:val="a3"/>
          <w:bCs/>
        </w:rPr>
        <w:t>Приложение N 7</w:t>
      </w:r>
      <w:r>
        <w:rPr>
          <w:rStyle w:val="a3"/>
          <w:bCs/>
        </w:rPr>
        <w:br/>
        <w:t xml:space="preserve">к </w:t>
      </w:r>
      <w:hyperlink w:anchor="sub_1000">
        <w:r>
          <w:t>Единым стандартам</w:t>
        </w:r>
      </w:hyperlink>
      <w:r>
        <w:rPr>
          <w:rStyle w:val="a3"/>
          <w:bCs/>
        </w:rPr>
        <w:t xml:space="preserve"> качества</w:t>
      </w:r>
      <w:r>
        <w:rPr>
          <w:rStyle w:val="a3"/>
          <w:bCs/>
        </w:rPr>
        <w:br/>
        <w:t>обслуживания сетевыми</w:t>
      </w:r>
      <w:r>
        <w:rPr>
          <w:rStyle w:val="a3"/>
          <w:bCs/>
        </w:rPr>
        <w:br/>
        <w:t>организациями потребителей услуг</w:t>
      </w:r>
      <w:r>
        <w:rPr>
          <w:rStyle w:val="a3"/>
          <w:bCs/>
        </w:rPr>
        <w:br/>
        <w:t>сетевых организаций</w:t>
      </w:r>
    </w:p>
    <w:p w14:paraId="14650B5F" w14:textId="77777777" w:rsidR="00EF3107" w:rsidRDefault="00EF3107"/>
    <w:p w14:paraId="0372052C" w14:textId="77777777" w:rsidR="00EF3107" w:rsidRDefault="008F3623">
      <w:pPr>
        <w:pStyle w:val="1"/>
      </w:pPr>
      <w:r>
        <w:t>Информация о качестве обслуживания потребителей услуг</w:t>
      </w:r>
    </w:p>
    <w:p w14:paraId="483D0B4D" w14:textId="77777777" w:rsidR="00EF3107" w:rsidRDefault="00EF3107"/>
    <w:p w14:paraId="68E76A27" w14:textId="77777777" w:rsidR="00EF3107" w:rsidRDefault="008F3623">
      <w:pPr>
        <w:ind w:firstLine="698"/>
        <w:jc w:val="center"/>
        <w:rPr>
          <w:u w:val="single"/>
        </w:rPr>
      </w:pPr>
      <w:r>
        <w:t>__</w:t>
      </w:r>
      <w:r>
        <w:rPr>
          <w:u w:val="single"/>
        </w:rPr>
        <w:t>АО «Пятигорскэнерго»</w:t>
      </w:r>
      <w:r>
        <w:t>_  за 202</w:t>
      </w:r>
      <w:r w:rsidR="00C506C4" w:rsidRPr="009B713C">
        <w:t>3</w:t>
      </w:r>
      <w:r>
        <w:t xml:space="preserve"> г.</w:t>
      </w:r>
    </w:p>
    <w:p w14:paraId="10E04A90" w14:textId="77777777" w:rsidR="00EF3107" w:rsidRDefault="008F3623">
      <w:pPr>
        <w:ind w:firstLine="698"/>
        <w:jc w:val="center"/>
      </w:pPr>
      <w:r>
        <w:t>(наименование сетевой организации)</w:t>
      </w:r>
    </w:p>
    <w:p w14:paraId="07993B7A" w14:textId="77777777" w:rsidR="00EF3107" w:rsidRDefault="00EF3107"/>
    <w:p w14:paraId="1C8B5D89" w14:textId="77777777" w:rsidR="00EF3107" w:rsidRDefault="008F3623">
      <w:pPr>
        <w:pStyle w:val="1"/>
      </w:pPr>
      <w:r>
        <w:t>1. Общая информация о сетевой организации</w:t>
      </w:r>
      <w:bookmarkStart w:id="0" w:name="sub_17100"/>
      <w:bookmarkEnd w:id="0"/>
    </w:p>
    <w:p w14:paraId="29901CAC" w14:textId="77777777" w:rsidR="00EF3107" w:rsidRDefault="00EF3107"/>
    <w:p w14:paraId="18A8CC67" w14:textId="77777777" w:rsidR="00EF3107" w:rsidRDefault="008F3623">
      <w:r>
        <w:t xml:space="preserve">1.1. Количество потребителей услуг сетевой организации (далее - потребители) составило </w:t>
      </w:r>
      <w:r w:rsidR="009B713C">
        <w:rPr>
          <w:rFonts w:ascii="Calibri" w:hAnsi="Calibri" w:cs="Calibri"/>
          <w:sz w:val="28"/>
          <w:szCs w:val="28"/>
        </w:rPr>
        <w:t>92 700</w:t>
      </w:r>
      <w:r>
        <w:t xml:space="preserve"> абонент</w:t>
      </w:r>
      <w:r w:rsidR="00FF47AD">
        <w:t>ов</w:t>
      </w:r>
      <w:r>
        <w:t xml:space="preserve">, из них </w:t>
      </w:r>
      <w:r w:rsidR="009B713C">
        <w:rPr>
          <w:rFonts w:ascii="Calibri" w:hAnsi="Calibri" w:cs="Calibri"/>
          <w:color w:val="000000"/>
          <w:sz w:val="28"/>
          <w:szCs w:val="28"/>
        </w:rPr>
        <w:t>4134</w:t>
      </w:r>
      <w:r>
        <w:t xml:space="preserve"> абонентов юридических лиц и </w:t>
      </w:r>
      <w:r w:rsidR="009B713C">
        <w:rPr>
          <w:rFonts w:ascii="Calibri" w:hAnsi="Calibri" w:cs="Calibri"/>
          <w:color w:val="000000"/>
          <w:sz w:val="28"/>
          <w:szCs w:val="28"/>
        </w:rPr>
        <w:t>88 566</w:t>
      </w:r>
      <w:r>
        <w:t xml:space="preserve"> абонентов физических лиц.</w:t>
      </w:r>
    </w:p>
    <w:p w14:paraId="1EB63DB2" w14:textId="77777777" w:rsidR="00EF3107" w:rsidRDefault="00EF3107"/>
    <w:p w14:paraId="5069AAEF" w14:textId="5BEFD608" w:rsidR="00EF3107" w:rsidRDefault="008F3623">
      <w:bookmarkStart w:id="1" w:name="sub_17101"/>
      <w:bookmarkStart w:id="2" w:name="sub_17102"/>
      <w:bookmarkEnd w:id="1"/>
      <w:r>
        <w:t xml:space="preserve">1.2. Количество точек поставки </w:t>
      </w:r>
      <w:bookmarkStart w:id="3" w:name="sub_17103"/>
      <w:bookmarkEnd w:id="2"/>
      <w:r>
        <w:t>за расчётный период регулирования (202</w:t>
      </w:r>
      <w:r w:rsidR="00C506C4" w:rsidRPr="00C506C4">
        <w:t>3</w:t>
      </w:r>
      <w:r w:rsidR="00A325CE">
        <w:t xml:space="preserve"> </w:t>
      </w:r>
      <w:r>
        <w:t>г.) по сетевой организации с разбивкой по уровням напряжения представлено в файле (Форма 8.3</w:t>
      </w:r>
      <w:r w:rsidR="003245D2">
        <w:t xml:space="preserve"> 2023.</w:t>
      </w:r>
      <w:r>
        <w:t xml:space="preserve">xlsx).  </w:t>
      </w:r>
    </w:p>
    <w:p w14:paraId="00CF616E" w14:textId="77777777" w:rsidR="00EF3107" w:rsidRDefault="00EF3107"/>
    <w:p w14:paraId="2ED95AD4" w14:textId="77777777" w:rsidR="00EF3107" w:rsidRDefault="008F3623">
      <w:r>
        <w:t>1.3. Информация об объектах электросетевого хозяйства сетевой организации, а также уровне физического износа объектов с разбивкой по уровням напряжения представлена в Таблице №1.</w:t>
      </w:r>
    </w:p>
    <w:p w14:paraId="637E54C0" w14:textId="77777777" w:rsidR="00EF3107" w:rsidRDefault="00EF3107"/>
    <w:p w14:paraId="00863803" w14:textId="77777777" w:rsidR="00EF3107" w:rsidRDefault="008F3623">
      <w:pPr>
        <w:jc w:val="center"/>
      </w:pPr>
      <w:r>
        <w:t>Таблица №1. Воздушные и кабельные линии электропередачи.</w:t>
      </w:r>
    </w:p>
    <w:p w14:paraId="381F7640" w14:textId="77777777" w:rsidR="00EF3107" w:rsidRDefault="00EF3107">
      <w:pPr>
        <w:jc w:val="center"/>
      </w:pPr>
    </w:p>
    <w:tbl>
      <w:tblPr>
        <w:tblStyle w:val="af5"/>
        <w:tblW w:w="10216" w:type="dxa"/>
        <w:jc w:val="center"/>
        <w:tblLayout w:type="fixed"/>
        <w:tblLook w:val="04A0" w:firstRow="1" w:lastRow="0" w:firstColumn="1" w:lastColumn="0" w:noHBand="0" w:noVBand="1"/>
      </w:tblPr>
      <w:tblGrid>
        <w:gridCol w:w="1092"/>
        <w:gridCol w:w="1923"/>
        <w:gridCol w:w="1209"/>
        <w:gridCol w:w="1007"/>
        <w:gridCol w:w="1037"/>
        <w:gridCol w:w="1924"/>
        <w:gridCol w:w="1014"/>
        <w:gridCol w:w="1010"/>
      </w:tblGrid>
      <w:tr w:rsidR="00D0245E" w14:paraId="67665085" w14:textId="77777777" w:rsidTr="00C506C4">
        <w:trPr>
          <w:jc w:val="center"/>
        </w:trPr>
        <w:tc>
          <w:tcPr>
            <w:tcW w:w="1092" w:type="dxa"/>
            <w:vMerge w:val="restart"/>
          </w:tcPr>
          <w:p w14:paraId="2A0840B5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ВЛ</w:t>
            </w:r>
          </w:p>
        </w:tc>
        <w:tc>
          <w:tcPr>
            <w:tcW w:w="1923" w:type="dxa"/>
          </w:tcPr>
          <w:p w14:paraId="19A71B53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Протяженность</w:t>
            </w:r>
          </w:p>
        </w:tc>
        <w:tc>
          <w:tcPr>
            <w:tcW w:w="2216" w:type="dxa"/>
            <w:gridSpan w:val="2"/>
          </w:tcPr>
          <w:p w14:paraId="3AD00224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В том числе имеющих степень износа более 50%</w:t>
            </w:r>
          </w:p>
        </w:tc>
        <w:tc>
          <w:tcPr>
            <w:tcW w:w="1037" w:type="dxa"/>
            <w:vMerge w:val="restart"/>
          </w:tcPr>
          <w:p w14:paraId="58EEE163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КЛ</w:t>
            </w:r>
          </w:p>
        </w:tc>
        <w:tc>
          <w:tcPr>
            <w:tcW w:w="1924" w:type="dxa"/>
          </w:tcPr>
          <w:p w14:paraId="5F4989A6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Протяженность</w:t>
            </w:r>
          </w:p>
        </w:tc>
        <w:tc>
          <w:tcPr>
            <w:tcW w:w="2024" w:type="dxa"/>
            <w:gridSpan w:val="2"/>
          </w:tcPr>
          <w:p w14:paraId="23329AB8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В том числе имеющих степень износа более 50%</w:t>
            </w:r>
          </w:p>
        </w:tc>
      </w:tr>
      <w:tr w:rsidR="00D0245E" w14:paraId="091DD27B" w14:textId="77777777" w:rsidTr="00C506C4">
        <w:trPr>
          <w:jc w:val="center"/>
        </w:trPr>
        <w:tc>
          <w:tcPr>
            <w:tcW w:w="1092" w:type="dxa"/>
            <w:vMerge/>
          </w:tcPr>
          <w:p w14:paraId="5B2BE9B0" w14:textId="77777777" w:rsidR="00D0245E" w:rsidRDefault="00D0245E" w:rsidP="001A7209">
            <w:pPr>
              <w:ind w:firstLine="0"/>
              <w:jc w:val="center"/>
            </w:pPr>
          </w:p>
        </w:tc>
        <w:tc>
          <w:tcPr>
            <w:tcW w:w="1923" w:type="dxa"/>
          </w:tcPr>
          <w:p w14:paraId="3EB0E9F1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км</w:t>
            </w:r>
          </w:p>
        </w:tc>
        <w:tc>
          <w:tcPr>
            <w:tcW w:w="1209" w:type="dxa"/>
          </w:tcPr>
          <w:p w14:paraId="240B96B3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км</w:t>
            </w:r>
          </w:p>
        </w:tc>
        <w:tc>
          <w:tcPr>
            <w:tcW w:w="1007" w:type="dxa"/>
          </w:tcPr>
          <w:p w14:paraId="6BA103D4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%</w:t>
            </w:r>
          </w:p>
        </w:tc>
        <w:tc>
          <w:tcPr>
            <w:tcW w:w="1037" w:type="dxa"/>
            <w:vMerge/>
          </w:tcPr>
          <w:p w14:paraId="1B1CBBB4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924" w:type="dxa"/>
          </w:tcPr>
          <w:p w14:paraId="38599A38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км</w:t>
            </w:r>
          </w:p>
        </w:tc>
        <w:tc>
          <w:tcPr>
            <w:tcW w:w="1014" w:type="dxa"/>
          </w:tcPr>
          <w:p w14:paraId="607E282A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км</w:t>
            </w:r>
          </w:p>
        </w:tc>
        <w:tc>
          <w:tcPr>
            <w:tcW w:w="1010" w:type="dxa"/>
          </w:tcPr>
          <w:p w14:paraId="62D7BA95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%</w:t>
            </w:r>
          </w:p>
        </w:tc>
      </w:tr>
      <w:tr w:rsidR="00C506C4" w14:paraId="0D0746FF" w14:textId="77777777" w:rsidTr="00C506C4">
        <w:trPr>
          <w:jc w:val="center"/>
        </w:trPr>
        <w:tc>
          <w:tcPr>
            <w:tcW w:w="1092" w:type="dxa"/>
          </w:tcPr>
          <w:p w14:paraId="58205ED2" w14:textId="77777777" w:rsidR="00C506C4" w:rsidRDefault="00C506C4" w:rsidP="00C506C4">
            <w:pPr>
              <w:ind w:firstLine="0"/>
              <w:jc w:val="center"/>
            </w:pPr>
            <w:r>
              <w:rPr>
                <w:sz w:val="22"/>
              </w:rPr>
              <w:t>35 кВ</w:t>
            </w:r>
          </w:p>
        </w:tc>
        <w:tc>
          <w:tcPr>
            <w:tcW w:w="1923" w:type="dxa"/>
          </w:tcPr>
          <w:p w14:paraId="6CE28995" w14:textId="77777777" w:rsidR="00C506C4" w:rsidRPr="00C506C4" w:rsidRDefault="00C506C4" w:rsidP="00C506C4">
            <w:pPr>
              <w:ind w:firstLine="0"/>
              <w:jc w:val="center"/>
            </w:pPr>
            <w:r w:rsidRPr="00C506C4">
              <w:rPr>
                <w:rFonts w:ascii="Times New Roman" w:hAnsi="Times New Roman" w:cs="Times New Roman"/>
                <w:szCs w:val="20"/>
              </w:rPr>
              <w:t>29,4</w:t>
            </w:r>
          </w:p>
        </w:tc>
        <w:tc>
          <w:tcPr>
            <w:tcW w:w="1209" w:type="dxa"/>
          </w:tcPr>
          <w:p w14:paraId="49C51D87" w14:textId="77777777" w:rsidR="00C506C4" w:rsidRPr="00C506C4" w:rsidRDefault="00C506C4" w:rsidP="00C506C4">
            <w:pPr>
              <w:ind w:firstLine="0"/>
              <w:jc w:val="center"/>
            </w:pPr>
            <w:r w:rsidRPr="00C506C4">
              <w:rPr>
                <w:rFonts w:ascii="Times New Roman" w:hAnsi="Times New Roman" w:cs="Times New Roman"/>
                <w:szCs w:val="20"/>
                <w:lang w:val="en-US"/>
              </w:rPr>
              <w:t>20</w:t>
            </w:r>
            <w:r w:rsidRPr="00C506C4">
              <w:rPr>
                <w:rFonts w:ascii="Times New Roman" w:hAnsi="Times New Roman" w:cs="Times New Roman"/>
                <w:szCs w:val="20"/>
              </w:rPr>
              <w:t>,168</w:t>
            </w:r>
          </w:p>
        </w:tc>
        <w:tc>
          <w:tcPr>
            <w:tcW w:w="1007" w:type="dxa"/>
          </w:tcPr>
          <w:p w14:paraId="2A0A9C63" w14:textId="77777777" w:rsidR="00C506C4" w:rsidRPr="00C506C4" w:rsidRDefault="00C506C4" w:rsidP="00C506C4">
            <w:pPr>
              <w:ind w:firstLine="0"/>
              <w:jc w:val="center"/>
            </w:pPr>
            <w:r w:rsidRPr="00C506C4">
              <w:rPr>
                <w:rFonts w:ascii="Times New Roman" w:hAnsi="Times New Roman" w:cs="Times New Roman"/>
                <w:szCs w:val="20"/>
              </w:rPr>
              <w:t>68,6</w:t>
            </w:r>
          </w:p>
        </w:tc>
        <w:tc>
          <w:tcPr>
            <w:tcW w:w="1037" w:type="dxa"/>
          </w:tcPr>
          <w:p w14:paraId="741E3B5B" w14:textId="77777777" w:rsidR="00C506C4" w:rsidRPr="00C506C4" w:rsidRDefault="00C506C4" w:rsidP="00C506C4">
            <w:pPr>
              <w:ind w:firstLine="0"/>
              <w:jc w:val="center"/>
            </w:pPr>
            <w:r w:rsidRPr="00C506C4">
              <w:rPr>
                <w:rFonts w:ascii="Times New Roman" w:hAnsi="Times New Roman" w:cs="Times New Roman"/>
                <w:szCs w:val="20"/>
              </w:rPr>
              <w:t>35 кВ</w:t>
            </w:r>
          </w:p>
        </w:tc>
        <w:tc>
          <w:tcPr>
            <w:tcW w:w="1924" w:type="dxa"/>
          </w:tcPr>
          <w:p w14:paraId="46D81781" w14:textId="77777777" w:rsidR="00C506C4" w:rsidRPr="00C506C4" w:rsidRDefault="00C506C4" w:rsidP="00C506C4">
            <w:pPr>
              <w:ind w:firstLine="0"/>
              <w:jc w:val="center"/>
            </w:pPr>
            <w:r w:rsidRPr="00C506C4">
              <w:rPr>
                <w:rFonts w:ascii="Times New Roman" w:hAnsi="Times New Roman" w:cs="Times New Roman"/>
                <w:szCs w:val="20"/>
              </w:rPr>
              <w:t>17,015</w:t>
            </w:r>
          </w:p>
        </w:tc>
        <w:tc>
          <w:tcPr>
            <w:tcW w:w="1014" w:type="dxa"/>
          </w:tcPr>
          <w:p w14:paraId="6B0A9D08" w14:textId="77777777" w:rsidR="00C506C4" w:rsidRPr="00C506C4" w:rsidRDefault="00C506C4" w:rsidP="00C506C4">
            <w:pPr>
              <w:ind w:firstLine="0"/>
              <w:jc w:val="center"/>
            </w:pPr>
            <w:r w:rsidRPr="00C506C4">
              <w:rPr>
                <w:rFonts w:ascii="Times New Roman" w:hAnsi="Times New Roman" w:cs="Times New Roman"/>
                <w:szCs w:val="20"/>
              </w:rPr>
              <w:t>3,72</w:t>
            </w:r>
          </w:p>
        </w:tc>
        <w:tc>
          <w:tcPr>
            <w:tcW w:w="1010" w:type="dxa"/>
          </w:tcPr>
          <w:p w14:paraId="11372EB3" w14:textId="77777777" w:rsidR="00C506C4" w:rsidRPr="00C506C4" w:rsidRDefault="00C506C4" w:rsidP="00C506C4">
            <w:pPr>
              <w:ind w:firstLine="0"/>
              <w:jc w:val="center"/>
            </w:pPr>
            <w:r w:rsidRPr="00C506C4">
              <w:rPr>
                <w:rFonts w:ascii="Times New Roman" w:hAnsi="Times New Roman" w:cs="Times New Roman"/>
                <w:szCs w:val="20"/>
              </w:rPr>
              <w:t>21,88</w:t>
            </w:r>
          </w:p>
        </w:tc>
      </w:tr>
      <w:tr w:rsidR="00C506C4" w14:paraId="21270A61" w14:textId="77777777" w:rsidTr="00C506C4">
        <w:trPr>
          <w:trHeight w:val="274"/>
          <w:jc w:val="center"/>
        </w:trPr>
        <w:tc>
          <w:tcPr>
            <w:tcW w:w="1092" w:type="dxa"/>
          </w:tcPr>
          <w:p w14:paraId="6B3B606D" w14:textId="77777777" w:rsidR="00C506C4" w:rsidRDefault="00C506C4" w:rsidP="00C506C4">
            <w:pPr>
              <w:ind w:firstLine="0"/>
              <w:jc w:val="center"/>
            </w:pPr>
            <w:r>
              <w:rPr>
                <w:sz w:val="22"/>
              </w:rPr>
              <w:t>10-6 кВ</w:t>
            </w:r>
          </w:p>
        </w:tc>
        <w:tc>
          <w:tcPr>
            <w:tcW w:w="1923" w:type="dxa"/>
          </w:tcPr>
          <w:p w14:paraId="5FEF33DA" w14:textId="77777777" w:rsidR="00C506C4" w:rsidRPr="00C506C4" w:rsidRDefault="00C506C4" w:rsidP="00C506C4">
            <w:pPr>
              <w:ind w:firstLine="0"/>
              <w:jc w:val="center"/>
            </w:pPr>
            <w:r w:rsidRPr="00C506C4">
              <w:rPr>
                <w:rFonts w:ascii="Times New Roman" w:hAnsi="Times New Roman" w:cs="Times New Roman"/>
                <w:szCs w:val="20"/>
              </w:rPr>
              <w:t>76,5</w:t>
            </w:r>
          </w:p>
        </w:tc>
        <w:tc>
          <w:tcPr>
            <w:tcW w:w="1209" w:type="dxa"/>
          </w:tcPr>
          <w:p w14:paraId="76A50E94" w14:textId="77777777" w:rsidR="00C506C4" w:rsidRPr="00C506C4" w:rsidRDefault="00C506C4" w:rsidP="00C506C4">
            <w:pPr>
              <w:ind w:firstLine="0"/>
              <w:jc w:val="center"/>
              <w:rPr>
                <w:lang w:val="en-US"/>
              </w:rPr>
            </w:pPr>
            <w:r w:rsidRPr="00C506C4">
              <w:rPr>
                <w:rFonts w:ascii="Times New Roman" w:hAnsi="Times New Roman" w:cs="Times New Roman"/>
                <w:szCs w:val="20"/>
              </w:rPr>
              <w:t>45,441</w:t>
            </w:r>
          </w:p>
        </w:tc>
        <w:tc>
          <w:tcPr>
            <w:tcW w:w="1007" w:type="dxa"/>
          </w:tcPr>
          <w:p w14:paraId="352D428C" w14:textId="77777777" w:rsidR="00C506C4" w:rsidRPr="00C506C4" w:rsidRDefault="00C506C4" w:rsidP="00C506C4">
            <w:pPr>
              <w:ind w:firstLine="0"/>
              <w:jc w:val="center"/>
            </w:pPr>
            <w:r w:rsidRPr="00C506C4">
              <w:rPr>
                <w:rFonts w:ascii="Times New Roman" w:hAnsi="Times New Roman" w:cs="Times New Roman"/>
                <w:szCs w:val="20"/>
              </w:rPr>
              <w:t>59,4</w:t>
            </w:r>
          </w:p>
        </w:tc>
        <w:tc>
          <w:tcPr>
            <w:tcW w:w="1037" w:type="dxa"/>
          </w:tcPr>
          <w:p w14:paraId="245EB53A" w14:textId="77777777" w:rsidR="00C506C4" w:rsidRPr="00C506C4" w:rsidRDefault="00C506C4" w:rsidP="00C506C4">
            <w:pPr>
              <w:ind w:firstLine="0"/>
              <w:jc w:val="center"/>
            </w:pPr>
            <w:r w:rsidRPr="00C506C4">
              <w:rPr>
                <w:rFonts w:ascii="Times New Roman" w:hAnsi="Times New Roman" w:cs="Times New Roman"/>
                <w:szCs w:val="20"/>
              </w:rPr>
              <w:t>10-6 кВ</w:t>
            </w:r>
          </w:p>
        </w:tc>
        <w:tc>
          <w:tcPr>
            <w:tcW w:w="1924" w:type="dxa"/>
          </w:tcPr>
          <w:p w14:paraId="605B26AB" w14:textId="77777777" w:rsidR="00C506C4" w:rsidRPr="00C506C4" w:rsidRDefault="00C506C4" w:rsidP="00C506C4">
            <w:pPr>
              <w:ind w:firstLine="0"/>
              <w:jc w:val="center"/>
              <w:rPr>
                <w:lang w:val="en-US"/>
              </w:rPr>
            </w:pPr>
            <w:r w:rsidRPr="00C506C4">
              <w:rPr>
                <w:rFonts w:ascii="Times New Roman" w:hAnsi="Times New Roman" w:cs="Times New Roman"/>
                <w:szCs w:val="20"/>
              </w:rPr>
              <w:t>480,038</w:t>
            </w:r>
          </w:p>
        </w:tc>
        <w:tc>
          <w:tcPr>
            <w:tcW w:w="1014" w:type="dxa"/>
          </w:tcPr>
          <w:p w14:paraId="23E75B98" w14:textId="77777777" w:rsidR="00C506C4" w:rsidRPr="00C506C4" w:rsidRDefault="00C506C4" w:rsidP="00C506C4">
            <w:pPr>
              <w:ind w:firstLine="0"/>
              <w:jc w:val="center"/>
            </w:pPr>
            <w:r w:rsidRPr="00C506C4">
              <w:rPr>
                <w:rFonts w:ascii="Times New Roman" w:hAnsi="Times New Roman" w:cs="Times New Roman"/>
                <w:szCs w:val="20"/>
              </w:rPr>
              <w:t>284,18</w:t>
            </w:r>
          </w:p>
        </w:tc>
        <w:tc>
          <w:tcPr>
            <w:tcW w:w="1010" w:type="dxa"/>
          </w:tcPr>
          <w:p w14:paraId="7DB19827" w14:textId="77777777" w:rsidR="00C506C4" w:rsidRPr="00C506C4" w:rsidRDefault="00C506C4" w:rsidP="00C506C4">
            <w:pPr>
              <w:ind w:firstLine="0"/>
              <w:jc w:val="center"/>
            </w:pPr>
            <w:r w:rsidRPr="00C506C4">
              <w:rPr>
                <w:rFonts w:ascii="Times New Roman" w:hAnsi="Times New Roman" w:cs="Times New Roman"/>
                <w:szCs w:val="20"/>
              </w:rPr>
              <w:t>59,2</w:t>
            </w:r>
          </w:p>
        </w:tc>
      </w:tr>
      <w:tr w:rsidR="00C506C4" w14:paraId="0F618B58" w14:textId="77777777" w:rsidTr="00C506C4">
        <w:trPr>
          <w:jc w:val="center"/>
        </w:trPr>
        <w:tc>
          <w:tcPr>
            <w:tcW w:w="1092" w:type="dxa"/>
          </w:tcPr>
          <w:p w14:paraId="71C5E89A" w14:textId="77777777" w:rsidR="00C506C4" w:rsidRDefault="00C506C4" w:rsidP="00C506C4">
            <w:pPr>
              <w:ind w:firstLine="0"/>
              <w:jc w:val="center"/>
            </w:pPr>
            <w:r>
              <w:rPr>
                <w:sz w:val="22"/>
              </w:rPr>
              <w:t>0,4 кВ</w:t>
            </w:r>
          </w:p>
        </w:tc>
        <w:tc>
          <w:tcPr>
            <w:tcW w:w="1923" w:type="dxa"/>
          </w:tcPr>
          <w:p w14:paraId="50795315" w14:textId="77777777" w:rsidR="00C506C4" w:rsidRPr="00C506C4" w:rsidRDefault="00C506C4" w:rsidP="00C506C4">
            <w:pPr>
              <w:ind w:firstLine="0"/>
              <w:jc w:val="center"/>
              <w:rPr>
                <w:lang w:val="en-US"/>
              </w:rPr>
            </w:pPr>
            <w:r w:rsidRPr="00C506C4">
              <w:rPr>
                <w:rFonts w:ascii="Times New Roman" w:hAnsi="Times New Roman" w:cs="Times New Roman"/>
                <w:szCs w:val="20"/>
              </w:rPr>
              <w:t>689,967</w:t>
            </w:r>
          </w:p>
        </w:tc>
        <w:tc>
          <w:tcPr>
            <w:tcW w:w="1209" w:type="dxa"/>
          </w:tcPr>
          <w:p w14:paraId="59751F46" w14:textId="77777777" w:rsidR="00C506C4" w:rsidRPr="00C506C4" w:rsidRDefault="00C506C4" w:rsidP="00C506C4">
            <w:pPr>
              <w:ind w:firstLine="0"/>
              <w:jc w:val="center"/>
            </w:pPr>
            <w:r w:rsidRPr="00C506C4">
              <w:rPr>
                <w:rFonts w:ascii="Times New Roman" w:hAnsi="Times New Roman" w:cs="Times New Roman"/>
                <w:szCs w:val="20"/>
              </w:rPr>
              <w:t>462,968</w:t>
            </w:r>
          </w:p>
        </w:tc>
        <w:tc>
          <w:tcPr>
            <w:tcW w:w="1007" w:type="dxa"/>
          </w:tcPr>
          <w:p w14:paraId="7D3DA7AD" w14:textId="77777777" w:rsidR="00C506C4" w:rsidRPr="00C506C4" w:rsidRDefault="00C506C4" w:rsidP="00C506C4">
            <w:pPr>
              <w:ind w:firstLine="0"/>
              <w:jc w:val="center"/>
            </w:pPr>
            <w:r w:rsidRPr="00C506C4">
              <w:rPr>
                <w:rFonts w:ascii="Times New Roman" w:hAnsi="Times New Roman" w:cs="Times New Roman"/>
                <w:szCs w:val="20"/>
              </w:rPr>
              <w:t>67,1</w:t>
            </w:r>
          </w:p>
        </w:tc>
        <w:tc>
          <w:tcPr>
            <w:tcW w:w="1037" w:type="dxa"/>
          </w:tcPr>
          <w:p w14:paraId="4156A397" w14:textId="77777777" w:rsidR="00C506C4" w:rsidRPr="00C506C4" w:rsidRDefault="00C506C4" w:rsidP="00C506C4">
            <w:pPr>
              <w:ind w:firstLine="0"/>
              <w:jc w:val="center"/>
            </w:pPr>
            <w:r w:rsidRPr="00C506C4">
              <w:rPr>
                <w:rFonts w:ascii="Times New Roman" w:hAnsi="Times New Roman" w:cs="Times New Roman"/>
                <w:szCs w:val="20"/>
              </w:rPr>
              <w:t>0,4 кВ</w:t>
            </w:r>
          </w:p>
        </w:tc>
        <w:tc>
          <w:tcPr>
            <w:tcW w:w="1924" w:type="dxa"/>
          </w:tcPr>
          <w:p w14:paraId="33CEA88E" w14:textId="77777777" w:rsidR="00C506C4" w:rsidRPr="00C506C4" w:rsidRDefault="00C506C4" w:rsidP="00C506C4">
            <w:pPr>
              <w:ind w:firstLine="0"/>
              <w:jc w:val="center"/>
            </w:pPr>
            <w:r w:rsidRPr="00C506C4">
              <w:rPr>
                <w:rFonts w:ascii="Times New Roman" w:hAnsi="Times New Roman" w:cs="Times New Roman"/>
                <w:szCs w:val="20"/>
              </w:rPr>
              <w:t>452,068</w:t>
            </w:r>
          </w:p>
        </w:tc>
        <w:tc>
          <w:tcPr>
            <w:tcW w:w="1014" w:type="dxa"/>
          </w:tcPr>
          <w:p w14:paraId="1A251B1E" w14:textId="77777777" w:rsidR="00C506C4" w:rsidRPr="00C506C4" w:rsidRDefault="00C506C4" w:rsidP="00C506C4">
            <w:pPr>
              <w:ind w:firstLine="0"/>
              <w:jc w:val="center"/>
            </w:pPr>
            <w:r w:rsidRPr="00C506C4">
              <w:rPr>
                <w:rFonts w:ascii="Times New Roman" w:hAnsi="Times New Roman" w:cs="Times New Roman"/>
                <w:szCs w:val="20"/>
              </w:rPr>
              <w:t>220,16</w:t>
            </w:r>
          </w:p>
        </w:tc>
        <w:tc>
          <w:tcPr>
            <w:tcW w:w="1010" w:type="dxa"/>
          </w:tcPr>
          <w:p w14:paraId="1C8E04F9" w14:textId="77777777" w:rsidR="00C506C4" w:rsidRPr="00C506C4" w:rsidRDefault="00C506C4" w:rsidP="00C506C4">
            <w:pPr>
              <w:ind w:firstLine="0"/>
              <w:jc w:val="center"/>
              <w:rPr>
                <w:lang w:val="en-US"/>
              </w:rPr>
            </w:pPr>
            <w:r w:rsidRPr="00C506C4">
              <w:rPr>
                <w:rFonts w:ascii="Times New Roman" w:hAnsi="Times New Roman" w:cs="Times New Roman"/>
                <w:szCs w:val="20"/>
              </w:rPr>
              <w:t>48,7</w:t>
            </w:r>
          </w:p>
        </w:tc>
      </w:tr>
      <w:tr w:rsidR="00C506C4" w14:paraId="6EF13CD2" w14:textId="77777777" w:rsidTr="00C506C4">
        <w:trPr>
          <w:jc w:val="center"/>
        </w:trPr>
        <w:tc>
          <w:tcPr>
            <w:tcW w:w="1092" w:type="dxa"/>
          </w:tcPr>
          <w:p w14:paraId="2C2B5C01" w14:textId="77777777" w:rsidR="00C506C4" w:rsidRDefault="00C506C4" w:rsidP="00C506C4">
            <w:pPr>
              <w:ind w:firstLine="0"/>
              <w:jc w:val="center"/>
              <w:rPr>
                <w:b/>
              </w:rPr>
            </w:pPr>
          </w:p>
          <w:p w14:paraId="16754C36" w14:textId="77777777" w:rsidR="00C506C4" w:rsidRDefault="00C506C4" w:rsidP="00C506C4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Всего</w:t>
            </w:r>
          </w:p>
        </w:tc>
        <w:tc>
          <w:tcPr>
            <w:tcW w:w="1923" w:type="dxa"/>
          </w:tcPr>
          <w:p w14:paraId="2CF96FC9" w14:textId="77777777" w:rsidR="00C506C4" w:rsidRPr="00C506C4" w:rsidRDefault="00C506C4" w:rsidP="00C506C4">
            <w:pPr>
              <w:ind w:firstLine="0"/>
              <w:jc w:val="center"/>
              <w:rPr>
                <w:color w:val="000000"/>
              </w:rPr>
            </w:pPr>
            <w:r w:rsidRPr="00C506C4">
              <w:rPr>
                <w:rFonts w:ascii="Times New Roman" w:hAnsi="Times New Roman" w:cs="Times New Roman"/>
                <w:szCs w:val="20"/>
              </w:rPr>
              <w:t>795,867</w:t>
            </w:r>
          </w:p>
        </w:tc>
        <w:tc>
          <w:tcPr>
            <w:tcW w:w="1209" w:type="dxa"/>
          </w:tcPr>
          <w:p w14:paraId="78424663" w14:textId="77777777" w:rsidR="00C506C4" w:rsidRPr="00C506C4" w:rsidRDefault="00C506C4" w:rsidP="00C506C4">
            <w:pPr>
              <w:ind w:firstLine="0"/>
              <w:jc w:val="center"/>
            </w:pPr>
            <w:r w:rsidRPr="00C506C4">
              <w:rPr>
                <w:rFonts w:ascii="Times New Roman" w:hAnsi="Times New Roman" w:cs="Times New Roman"/>
                <w:szCs w:val="20"/>
              </w:rPr>
              <w:t>517,55</w:t>
            </w:r>
          </w:p>
        </w:tc>
        <w:tc>
          <w:tcPr>
            <w:tcW w:w="1007" w:type="dxa"/>
          </w:tcPr>
          <w:p w14:paraId="21933209" w14:textId="77777777" w:rsidR="00C506C4" w:rsidRPr="00C506C4" w:rsidRDefault="00C506C4" w:rsidP="00C506C4">
            <w:pPr>
              <w:ind w:firstLine="0"/>
              <w:jc w:val="center"/>
              <w:rPr>
                <w:lang w:val="en-US"/>
              </w:rPr>
            </w:pPr>
            <w:r w:rsidRPr="00C506C4">
              <w:rPr>
                <w:rFonts w:ascii="Times New Roman" w:hAnsi="Times New Roman" w:cs="Times New Roman"/>
                <w:szCs w:val="20"/>
              </w:rPr>
              <w:t>65,03</w:t>
            </w:r>
          </w:p>
        </w:tc>
        <w:tc>
          <w:tcPr>
            <w:tcW w:w="1037" w:type="dxa"/>
          </w:tcPr>
          <w:p w14:paraId="26F356AB" w14:textId="77777777" w:rsidR="00C506C4" w:rsidRPr="00C506C4" w:rsidRDefault="00C506C4" w:rsidP="00C506C4">
            <w:pPr>
              <w:ind w:firstLine="0"/>
              <w:jc w:val="center"/>
              <w:rPr>
                <w:b/>
              </w:rPr>
            </w:pPr>
            <w:r w:rsidRPr="00C506C4">
              <w:rPr>
                <w:rFonts w:ascii="Times New Roman" w:hAnsi="Times New Roman" w:cs="Times New Roman"/>
                <w:b/>
                <w:szCs w:val="20"/>
              </w:rPr>
              <w:t>Всего:</w:t>
            </w:r>
          </w:p>
        </w:tc>
        <w:tc>
          <w:tcPr>
            <w:tcW w:w="1924" w:type="dxa"/>
          </w:tcPr>
          <w:p w14:paraId="605097F7" w14:textId="77777777" w:rsidR="00C506C4" w:rsidRPr="00C506C4" w:rsidRDefault="00C506C4" w:rsidP="00C506C4">
            <w:pPr>
              <w:ind w:firstLine="0"/>
              <w:jc w:val="center"/>
            </w:pPr>
            <w:r w:rsidRPr="00C506C4">
              <w:rPr>
                <w:rFonts w:ascii="Times New Roman" w:hAnsi="Times New Roman" w:cs="Times New Roman"/>
                <w:szCs w:val="20"/>
              </w:rPr>
              <w:t>949,121</w:t>
            </w:r>
          </w:p>
        </w:tc>
        <w:tc>
          <w:tcPr>
            <w:tcW w:w="1014" w:type="dxa"/>
          </w:tcPr>
          <w:p w14:paraId="0EE2C144" w14:textId="77777777" w:rsidR="00C506C4" w:rsidRPr="00C506C4" w:rsidRDefault="00C506C4" w:rsidP="00C506C4">
            <w:pPr>
              <w:ind w:firstLine="0"/>
              <w:jc w:val="center"/>
            </w:pPr>
            <w:r w:rsidRPr="00C506C4">
              <w:rPr>
                <w:rFonts w:ascii="Times New Roman" w:hAnsi="Times New Roman" w:cs="Times New Roman"/>
                <w:szCs w:val="20"/>
              </w:rPr>
              <w:t>508,06</w:t>
            </w:r>
          </w:p>
        </w:tc>
        <w:tc>
          <w:tcPr>
            <w:tcW w:w="1010" w:type="dxa"/>
          </w:tcPr>
          <w:p w14:paraId="2C1CFBB6" w14:textId="77777777" w:rsidR="00C506C4" w:rsidRPr="00C506C4" w:rsidRDefault="00C506C4" w:rsidP="00C506C4">
            <w:pPr>
              <w:ind w:firstLine="0"/>
              <w:jc w:val="center"/>
            </w:pPr>
            <w:r w:rsidRPr="00C506C4">
              <w:rPr>
                <w:rFonts w:ascii="Times New Roman" w:hAnsi="Times New Roman" w:cs="Times New Roman"/>
                <w:szCs w:val="20"/>
              </w:rPr>
              <w:t>53,53</w:t>
            </w:r>
          </w:p>
        </w:tc>
      </w:tr>
    </w:tbl>
    <w:p w14:paraId="37B73DF9" w14:textId="77777777" w:rsidR="00EF3107" w:rsidRDefault="00EF3107" w:rsidP="0083376F"/>
    <w:p w14:paraId="0BD152B3" w14:textId="77777777" w:rsidR="00EF3107" w:rsidRDefault="00EF3107"/>
    <w:p w14:paraId="785E5D50" w14:textId="77777777" w:rsidR="00EF3107" w:rsidRDefault="008F3623">
      <w:r>
        <w:t>1.4 Информация о количестве трансформаторных подстанций, а также уровне физического износа представлена в Таблице №</w:t>
      </w:r>
      <w:r w:rsidR="00CD4A1F">
        <w:t xml:space="preserve"> </w:t>
      </w:r>
      <w:r>
        <w:t>2.</w:t>
      </w:r>
    </w:p>
    <w:p w14:paraId="572EC06B" w14:textId="77777777" w:rsidR="00EF3107" w:rsidRDefault="00EF3107"/>
    <w:p w14:paraId="3798BA8A" w14:textId="77777777" w:rsidR="00EF3107" w:rsidRDefault="008F3623">
      <w:pPr>
        <w:jc w:val="center"/>
      </w:pPr>
      <w:r>
        <w:t>Таблица №2. Трансформаторные подстанции</w:t>
      </w:r>
    </w:p>
    <w:p w14:paraId="793908A9" w14:textId="77777777" w:rsidR="00EF3107" w:rsidRDefault="00EF3107">
      <w:pPr>
        <w:jc w:val="center"/>
      </w:pPr>
    </w:p>
    <w:tbl>
      <w:tblPr>
        <w:tblStyle w:val="af5"/>
        <w:tblW w:w="10216" w:type="dxa"/>
        <w:jc w:val="center"/>
        <w:tblLayout w:type="fixed"/>
        <w:tblLook w:val="04A0" w:firstRow="1" w:lastRow="0" w:firstColumn="1" w:lastColumn="0" w:noHBand="0" w:noVBand="1"/>
      </w:tblPr>
      <w:tblGrid>
        <w:gridCol w:w="3405"/>
        <w:gridCol w:w="3405"/>
        <w:gridCol w:w="3406"/>
      </w:tblGrid>
      <w:tr w:rsidR="004E62E0" w14:paraId="6AF6C67E" w14:textId="77777777" w:rsidTr="00865D28">
        <w:trPr>
          <w:jc w:val="center"/>
        </w:trPr>
        <w:tc>
          <w:tcPr>
            <w:tcW w:w="3405" w:type="dxa"/>
          </w:tcPr>
          <w:p w14:paraId="1C0E3501" w14:textId="77777777" w:rsidR="004E62E0" w:rsidRDefault="004E62E0" w:rsidP="00865D28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Трансформаторные подстанции</w:t>
            </w:r>
          </w:p>
        </w:tc>
        <w:tc>
          <w:tcPr>
            <w:tcW w:w="6811" w:type="dxa"/>
            <w:gridSpan w:val="2"/>
          </w:tcPr>
          <w:p w14:paraId="681439B5" w14:textId="77777777" w:rsidR="004E62E0" w:rsidRDefault="004E62E0" w:rsidP="00865D28">
            <w:pPr>
              <w:ind w:firstLine="0"/>
              <w:jc w:val="center"/>
            </w:pPr>
            <w:r>
              <w:rPr>
                <w:b/>
                <w:sz w:val="22"/>
              </w:rPr>
              <w:t>В том числе имеющих степень износа более 50%</w:t>
            </w:r>
          </w:p>
        </w:tc>
      </w:tr>
      <w:tr w:rsidR="004E62E0" w14:paraId="43AAC964" w14:textId="77777777" w:rsidTr="00865D28">
        <w:trPr>
          <w:jc w:val="center"/>
        </w:trPr>
        <w:tc>
          <w:tcPr>
            <w:tcW w:w="3405" w:type="dxa"/>
          </w:tcPr>
          <w:p w14:paraId="1829C5A3" w14:textId="77777777" w:rsidR="004E62E0" w:rsidRDefault="004E62E0" w:rsidP="00865D28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шт.</w:t>
            </w:r>
          </w:p>
        </w:tc>
        <w:tc>
          <w:tcPr>
            <w:tcW w:w="3405" w:type="dxa"/>
          </w:tcPr>
          <w:p w14:paraId="158FCD6B" w14:textId="77777777" w:rsidR="004E62E0" w:rsidRDefault="004E62E0" w:rsidP="00865D28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шт.</w:t>
            </w:r>
          </w:p>
        </w:tc>
        <w:tc>
          <w:tcPr>
            <w:tcW w:w="3406" w:type="dxa"/>
          </w:tcPr>
          <w:p w14:paraId="48C8351F" w14:textId="77777777" w:rsidR="004E62E0" w:rsidRDefault="004E62E0" w:rsidP="00865D28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%</w:t>
            </w:r>
          </w:p>
        </w:tc>
      </w:tr>
      <w:tr w:rsidR="004E62E0" w14:paraId="482DEBAE" w14:textId="77777777" w:rsidTr="00865D28">
        <w:trPr>
          <w:jc w:val="center"/>
        </w:trPr>
        <w:tc>
          <w:tcPr>
            <w:tcW w:w="3405" w:type="dxa"/>
          </w:tcPr>
          <w:p w14:paraId="09FCE716" w14:textId="77777777" w:rsidR="004E62E0" w:rsidRDefault="00C506C4" w:rsidP="00CD4A1F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525</w:t>
            </w:r>
          </w:p>
        </w:tc>
        <w:tc>
          <w:tcPr>
            <w:tcW w:w="3405" w:type="dxa"/>
          </w:tcPr>
          <w:p w14:paraId="4639DDBB" w14:textId="77777777" w:rsidR="004E62E0" w:rsidRDefault="00C506C4" w:rsidP="00C506C4">
            <w:pPr>
              <w:tabs>
                <w:tab w:val="left" w:pos="1155"/>
                <w:tab w:val="center" w:pos="1594"/>
              </w:tabs>
              <w:ind w:firstLine="0"/>
              <w:jc w:val="center"/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294</w:t>
            </w:r>
          </w:p>
        </w:tc>
        <w:tc>
          <w:tcPr>
            <w:tcW w:w="3406" w:type="dxa"/>
          </w:tcPr>
          <w:p w14:paraId="34FC2541" w14:textId="77777777" w:rsidR="004E62E0" w:rsidRPr="00C506C4" w:rsidRDefault="00C506C4" w:rsidP="00865D28">
            <w:pPr>
              <w:ind w:firstLine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56</w:t>
            </w:r>
          </w:p>
        </w:tc>
      </w:tr>
    </w:tbl>
    <w:p w14:paraId="24B74D7A" w14:textId="77777777" w:rsidR="00EF3107" w:rsidRDefault="00EF3107">
      <w:pPr>
        <w:jc w:val="center"/>
      </w:pPr>
    </w:p>
    <w:bookmarkEnd w:id="3"/>
    <w:p w14:paraId="2723FDF0" w14:textId="77777777" w:rsidR="00EF3107" w:rsidRDefault="00EF3107"/>
    <w:p w14:paraId="2AD1B801" w14:textId="77777777" w:rsidR="00EF3107" w:rsidRDefault="00EF3107"/>
    <w:p w14:paraId="4A8CD3B5" w14:textId="77777777" w:rsidR="00EF3107" w:rsidRDefault="00EF3107">
      <w:bookmarkStart w:id="4" w:name="sub_17104"/>
      <w:bookmarkEnd w:id="4"/>
    </w:p>
    <w:p w14:paraId="17A29C53" w14:textId="77777777" w:rsidR="00EF3107" w:rsidRDefault="00EF3107"/>
    <w:p w14:paraId="5453E043" w14:textId="77777777" w:rsidR="00C506C4" w:rsidRDefault="00C506C4"/>
    <w:p w14:paraId="30CF4873" w14:textId="77777777" w:rsidR="00EF3107" w:rsidRDefault="008F3623">
      <w:pPr>
        <w:pStyle w:val="1"/>
      </w:pPr>
      <w:r>
        <w:lastRenderedPageBreak/>
        <w:t>2. Информация о качестве услуг по передаче электрической энергии</w:t>
      </w:r>
      <w:bookmarkStart w:id="5" w:name="sub_17200"/>
      <w:bookmarkEnd w:id="5"/>
    </w:p>
    <w:p w14:paraId="1B1B4304" w14:textId="77777777" w:rsidR="00EF3107" w:rsidRDefault="00EF3107"/>
    <w:p w14:paraId="7FE69EC1" w14:textId="0076BFE7" w:rsidR="00EF3107" w:rsidRDefault="008F3623">
      <w:r>
        <w:t>2.1. Показатели качества услуг по передаче электрической энергии в целом по сетевой организации в отчетном периоде (за 202</w:t>
      </w:r>
      <w:r w:rsidR="00C506C4">
        <w:t>3</w:t>
      </w:r>
      <w:r>
        <w:t>г.) определены Минэнерго России и загружены из личного кабинета ТСО (файлы: Нарушения для ТСО</w:t>
      </w:r>
      <w:r w:rsidR="003245D2">
        <w:t>_2023</w:t>
      </w:r>
      <w:r>
        <w:t>.xlsx, Форма 1.3</w:t>
      </w:r>
      <w:r w:rsidR="003245D2">
        <w:t xml:space="preserve"> 2023</w:t>
      </w:r>
      <w:r>
        <w:t>.xlsx, Форма 1.9</w:t>
      </w:r>
      <w:r w:rsidR="003245D2">
        <w:t xml:space="preserve"> 2023</w:t>
      </w:r>
      <w:r>
        <w:t>.xlsx, Форма 8.1</w:t>
      </w:r>
      <w:r w:rsidR="003245D2">
        <w:t xml:space="preserve"> 2023</w:t>
      </w:r>
      <w:r>
        <w:t>.xlsx, Форма 8.3</w:t>
      </w:r>
      <w:r w:rsidR="003245D2">
        <w:t xml:space="preserve"> 2023</w:t>
      </w:r>
      <w:r>
        <w:t>.xlsx, Перечень ТСО с базовыми показателями</w:t>
      </w:r>
      <w:r w:rsidR="003245D2">
        <w:t xml:space="preserve"> 2023</w:t>
      </w:r>
      <w:r>
        <w:t>.xls, Перечень ТСО с показателями</w:t>
      </w:r>
      <w:r w:rsidR="003245D2">
        <w:t xml:space="preserve"> 2023</w:t>
      </w:r>
      <w:r>
        <w:t>.xls).</w:t>
      </w:r>
    </w:p>
    <w:p w14:paraId="4D655C0E" w14:textId="77777777" w:rsidR="00EF3107" w:rsidRDefault="008F3623">
      <w:r>
        <w:t xml:space="preserve"> </w:t>
      </w:r>
      <w:bookmarkStart w:id="6" w:name="sub_17201"/>
      <w:bookmarkEnd w:id="6"/>
    </w:p>
    <w:p w14:paraId="44896E5C" w14:textId="77777777" w:rsidR="00EF3107" w:rsidRDefault="008F3623">
      <w:r>
        <w:t>2.3. Мероприятия, выполненные сетевой организацией в целях повышения качества оказания услуг по передаче электрической энергии в отчетном периоде и прочая информация, касающаяся качества оказания услуг представлены в файле 202</w:t>
      </w:r>
      <w:r w:rsidR="00C506C4" w:rsidRPr="00C506C4">
        <w:t>3</w:t>
      </w:r>
      <w:r>
        <w:t xml:space="preserve"> отчет.xls.</w:t>
      </w:r>
    </w:p>
    <w:p w14:paraId="675BA120" w14:textId="77777777" w:rsidR="00EF3107" w:rsidRDefault="00EF3107"/>
    <w:p w14:paraId="4141436F" w14:textId="77777777" w:rsidR="00EF3107" w:rsidRDefault="00EF3107"/>
    <w:p w14:paraId="7FC4C7FF" w14:textId="77777777" w:rsidR="00EF3107" w:rsidRDefault="008F3623">
      <w:pPr>
        <w:pStyle w:val="1"/>
      </w:pPr>
      <w:r>
        <w:t>3. Информация о качестве услуг по технологическому присоединению и качеству обслуживания</w:t>
      </w:r>
      <w:bookmarkStart w:id="7" w:name="sub_17300"/>
      <w:bookmarkEnd w:id="7"/>
    </w:p>
    <w:p w14:paraId="3B397733" w14:textId="77777777" w:rsidR="00EF3107" w:rsidRDefault="00EF3107"/>
    <w:p w14:paraId="269EB938" w14:textId="77777777" w:rsidR="00EF3107" w:rsidRDefault="008F3623">
      <w:bookmarkStart w:id="8" w:name="sub_17301"/>
      <w:r>
        <w:t xml:space="preserve">3.1. </w:t>
      </w:r>
      <w:bookmarkStart w:id="9" w:name="sub_17302"/>
      <w:bookmarkEnd w:id="8"/>
      <w:r>
        <w:t>Сведения о качестве услуг по технологическому присоединению к электрическим сетям сетевой организации представлены в файле Форма 3.4 202</w:t>
      </w:r>
      <w:r w:rsidR="00C506C4">
        <w:t>3</w:t>
      </w:r>
      <w:r>
        <w:t xml:space="preserve">г.xls. </w:t>
      </w:r>
    </w:p>
    <w:p w14:paraId="32345D15" w14:textId="39435BCD" w:rsidR="00EF3107" w:rsidRDefault="008F3623">
      <w:r>
        <w:t>3.2. Мероприятия, выполненные сетевой организацией в целях совершенствования деятельности по технологическому присоединению в отчетном периоде</w:t>
      </w:r>
      <w:bookmarkStart w:id="10" w:name="sub_17303"/>
      <w:bookmarkEnd w:id="9"/>
      <w:r>
        <w:t xml:space="preserve"> и </w:t>
      </w:r>
      <w:bookmarkStart w:id="11" w:name="sub_17304"/>
      <w:bookmarkEnd w:id="10"/>
      <w:r>
        <w:t>сведения о качестве услуг по технологическому присоединению к электрическим сетям сетевой организации представлены в файлах: 202</w:t>
      </w:r>
      <w:r w:rsidR="00C506C4" w:rsidRPr="00C506C4">
        <w:t>3</w:t>
      </w:r>
      <w:r>
        <w:t xml:space="preserve"> отчет.xls, Формы_ 3х_202</w:t>
      </w:r>
      <w:r w:rsidR="003245D2">
        <w:t>3</w:t>
      </w:r>
      <w:r>
        <w:t>г.doc, Форма 3.4 202</w:t>
      </w:r>
      <w:r w:rsidR="00C506C4" w:rsidRPr="00C506C4">
        <w:t>3</w:t>
      </w:r>
      <w:r>
        <w:t>г.xls, Формы 2.1 - 2.3 к расчету показателей качества_202</w:t>
      </w:r>
      <w:r w:rsidR="00C506C4">
        <w:t>3</w:t>
      </w:r>
      <w:r>
        <w:t>.xls.</w:t>
      </w:r>
    </w:p>
    <w:p w14:paraId="1DE3A9E6" w14:textId="77777777" w:rsidR="00EF3107" w:rsidRDefault="008F3623">
      <w:r>
        <w:t>3.3.  Информация по работе с обращениями потребителей представлена в файле 202</w:t>
      </w:r>
      <w:r w:rsidR="00C506C4">
        <w:t>3</w:t>
      </w:r>
      <w:r>
        <w:t xml:space="preserve"> отчет.xls.</w:t>
      </w:r>
    </w:p>
    <w:p w14:paraId="41F9AA08" w14:textId="77777777" w:rsidR="00EF3107" w:rsidRDefault="008F3623">
      <w:r>
        <w:t xml:space="preserve">  </w:t>
      </w:r>
      <w:bookmarkEnd w:id="11"/>
    </w:p>
    <w:p w14:paraId="21FCC7B4" w14:textId="77777777" w:rsidR="00C506C4" w:rsidRDefault="00C506C4" w:rsidP="00C506C4">
      <w:r>
        <w:t>Инженер ПТС                                   В.Е. Терещенко</w:t>
      </w:r>
    </w:p>
    <w:p w14:paraId="79861336" w14:textId="77777777" w:rsidR="008F3623" w:rsidRDefault="008F3623"/>
    <w:p w14:paraId="279C021E" w14:textId="77777777" w:rsidR="008F3623" w:rsidRDefault="008F3623">
      <w:r>
        <w:t xml:space="preserve">Инженер ОДС                                   </w:t>
      </w:r>
      <w:r w:rsidR="00C506C4">
        <w:t xml:space="preserve">А.О. </w:t>
      </w:r>
      <w:r>
        <w:t>Ветлужских</w:t>
      </w:r>
    </w:p>
    <w:p w14:paraId="270A0A59" w14:textId="77777777" w:rsidR="00C92BB6" w:rsidRDefault="00C92BB6"/>
    <w:p w14:paraId="473BBCD1" w14:textId="77777777" w:rsidR="008F3623" w:rsidRDefault="00C92BB6" w:rsidP="00C92BB6">
      <w:pPr>
        <w:tabs>
          <w:tab w:val="left" w:pos="4680"/>
        </w:tabs>
      </w:pPr>
      <w:r>
        <w:t>Начальник ПТС</w:t>
      </w:r>
      <w:r>
        <w:tab/>
      </w:r>
      <w:r w:rsidR="00C506C4">
        <w:t xml:space="preserve">В.И. </w:t>
      </w:r>
      <w:proofErr w:type="spellStart"/>
      <w:r w:rsidR="00C506C4">
        <w:t>Перейма</w:t>
      </w:r>
      <w:proofErr w:type="spellEnd"/>
    </w:p>
    <w:p w14:paraId="59C77883" w14:textId="77777777" w:rsidR="008F3623" w:rsidRDefault="008F3623"/>
    <w:p w14:paraId="54672A95" w14:textId="77777777" w:rsidR="008F3623" w:rsidRDefault="008F3623">
      <w:r>
        <w:t xml:space="preserve">Главный инженер                             </w:t>
      </w:r>
      <w:r w:rsidR="00C506C4">
        <w:t xml:space="preserve">А.Н. </w:t>
      </w:r>
      <w:r>
        <w:t>Шарапов</w:t>
      </w:r>
    </w:p>
    <w:sectPr w:rsidR="008F3623" w:rsidSect="00EF563C">
      <w:pgSz w:w="11906" w:h="16838"/>
      <w:pgMar w:top="720" w:right="720" w:bottom="720" w:left="720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autoHyphenation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107"/>
    <w:rsid w:val="003203F5"/>
    <w:rsid w:val="003245D2"/>
    <w:rsid w:val="003A1FB0"/>
    <w:rsid w:val="004E62E0"/>
    <w:rsid w:val="00501D28"/>
    <w:rsid w:val="005839E0"/>
    <w:rsid w:val="0083376F"/>
    <w:rsid w:val="008F3623"/>
    <w:rsid w:val="009B713C"/>
    <w:rsid w:val="00A325CE"/>
    <w:rsid w:val="00B10064"/>
    <w:rsid w:val="00C506C4"/>
    <w:rsid w:val="00C92BB6"/>
    <w:rsid w:val="00CD4A1F"/>
    <w:rsid w:val="00D0245E"/>
    <w:rsid w:val="00EF3107"/>
    <w:rsid w:val="00EF4C30"/>
    <w:rsid w:val="00EF563C"/>
    <w:rsid w:val="00F73753"/>
    <w:rsid w:val="00FF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AD474"/>
  <w15:docId w15:val="{71C7DAFA-F3F0-448D-BAF6-757EFE8AF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63C"/>
    <w:pPr>
      <w:widowControl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F563C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locked/>
    <w:rsid w:val="00EF563C"/>
    <w:rPr>
      <w:rFonts w:asciiTheme="majorHAnsi" w:eastAsiaTheme="majorEastAsia" w:hAnsiTheme="majorHAnsi" w:cs="Times New Roman"/>
      <w:b/>
      <w:bCs/>
      <w:kern w:val="2"/>
      <w:sz w:val="32"/>
      <w:szCs w:val="32"/>
    </w:rPr>
  </w:style>
  <w:style w:type="character" w:customStyle="1" w:styleId="a3">
    <w:name w:val="Цветовое выделение"/>
    <w:uiPriority w:val="99"/>
    <w:qFormat/>
    <w:rsid w:val="00EF563C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qFormat/>
    <w:rsid w:val="00EF563C"/>
    <w:rPr>
      <w:rFonts w:cs="Times New Roman"/>
      <w:b/>
      <w:color w:val="106BBE"/>
    </w:rPr>
  </w:style>
  <w:style w:type="character" w:customStyle="1" w:styleId="a5">
    <w:name w:val="Цветовое выделение для Текст"/>
    <w:uiPriority w:val="99"/>
    <w:qFormat/>
    <w:rsid w:val="00EF563C"/>
  </w:style>
  <w:style w:type="character" w:customStyle="1" w:styleId="a6">
    <w:name w:val="Текст выноски Знак"/>
    <w:basedOn w:val="a0"/>
    <w:uiPriority w:val="99"/>
    <w:semiHidden/>
    <w:qFormat/>
    <w:locked/>
    <w:rsid w:val="00454597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uiPriority w:val="99"/>
    <w:qFormat/>
    <w:locked/>
    <w:rsid w:val="007F3BCA"/>
    <w:rPr>
      <w:rFonts w:ascii="Arial" w:hAnsi="Arial" w:cs="Arial"/>
      <w:sz w:val="24"/>
      <w:szCs w:val="24"/>
    </w:rPr>
  </w:style>
  <w:style w:type="character" w:customStyle="1" w:styleId="a8">
    <w:name w:val="Нижний колонтитул Знак"/>
    <w:basedOn w:val="a0"/>
    <w:uiPriority w:val="99"/>
    <w:qFormat/>
    <w:locked/>
    <w:rsid w:val="007F3BCA"/>
    <w:rPr>
      <w:rFonts w:ascii="Arial" w:hAnsi="Arial" w:cs="Arial"/>
      <w:sz w:val="24"/>
      <w:szCs w:val="24"/>
    </w:rPr>
  </w:style>
  <w:style w:type="character" w:customStyle="1" w:styleId="-">
    <w:name w:val="Интернет-ссылка"/>
    <w:rsid w:val="00EF563C"/>
    <w:rPr>
      <w:color w:val="000080"/>
      <w:u w:val="single"/>
    </w:rPr>
  </w:style>
  <w:style w:type="paragraph" w:customStyle="1" w:styleId="11">
    <w:name w:val="Заголовок1"/>
    <w:basedOn w:val="a"/>
    <w:next w:val="a9"/>
    <w:qFormat/>
    <w:rsid w:val="00EF563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Body Text"/>
    <w:basedOn w:val="a"/>
    <w:rsid w:val="00EF563C"/>
    <w:pPr>
      <w:spacing w:after="140" w:line="276" w:lineRule="auto"/>
    </w:pPr>
  </w:style>
  <w:style w:type="paragraph" w:styleId="aa">
    <w:name w:val="List"/>
    <w:basedOn w:val="a9"/>
    <w:rsid w:val="00EF563C"/>
  </w:style>
  <w:style w:type="paragraph" w:styleId="ab">
    <w:name w:val="caption"/>
    <w:basedOn w:val="a"/>
    <w:qFormat/>
    <w:rsid w:val="00EF563C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EF563C"/>
    <w:pPr>
      <w:suppressLineNumbers/>
    </w:pPr>
  </w:style>
  <w:style w:type="paragraph" w:customStyle="1" w:styleId="ad">
    <w:name w:val="Текст (справка)"/>
    <w:basedOn w:val="a"/>
    <w:next w:val="a"/>
    <w:uiPriority w:val="99"/>
    <w:qFormat/>
    <w:rsid w:val="00EF563C"/>
    <w:pPr>
      <w:ind w:left="170" w:right="170" w:firstLine="0"/>
      <w:jc w:val="left"/>
    </w:pPr>
  </w:style>
  <w:style w:type="paragraph" w:customStyle="1" w:styleId="ae">
    <w:name w:val="Комментарий"/>
    <w:basedOn w:val="ad"/>
    <w:next w:val="a"/>
    <w:uiPriority w:val="99"/>
    <w:qFormat/>
    <w:rsid w:val="00EF563C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qFormat/>
    <w:rsid w:val="00EF563C"/>
    <w:rPr>
      <w:i/>
      <w:iCs/>
    </w:rPr>
  </w:style>
  <w:style w:type="paragraph" w:customStyle="1" w:styleId="af0">
    <w:name w:val="Нормальный (таблица)"/>
    <w:basedOn w:val="a"/>
    <w:next w:val="a"/>
    <w:uiPriority w:val="99"/>
    <w:qFormat/>
    <w:rsid w:val="00EF563C"/>
    <w:pPr>
      <w:ind w:firstLine="0"/>
    </w:pPr>
  </w:style>
  <w:style w:type="paragraph" w:styleId="af1">
    <w:name w:val="Balloon Text"/>
    <w:basedOn w:val="a"/>
    <w:uiPriority w:val="99"/>
    <w:semiHidden/>
    <w:unhideWhenUsed/>
    <w:qFormat/>
    <w:rsid w:val="00454597"/>
    <w:rPr>
      <w:rFonts w:ascii="Tahoma" w:hAnsi="Tahoma" w:cs="Tahoma"/>
      <w:sz w:val="16"/>
      <w:szCs w:val="16"/>
    </w:rPr>
  </w:style>
  <w:style w:type="paragraph" w:customStyle="1" w:styleId="af2">
    <w:name w:val="Верхний и нижний колонтитулы"/>
    <w:basedOn w:val="a"/>
    <w:qFormat/>
    <w:rsid w:val="00EF563C"/>
  </w:style>
  <w:style w:type="paragraph" w:styleId="af3">
    <w:name w:val="header"/>
    <w:basedOn w:val="a"/>
    <w:uiPriority w:val="99"/>
    <w:unhideWhenUsed/>
    <w:rsid w:val="007F3BCA"/>
    <w:pPr>
      <w:tabs>
        <w:tab w:val="center" w:pos="4677"/>
        <w:tab w:val="right" w:pos="9355"/>
      </w:tabs>
    </w:pPr>
  </w:style>
  <w:style w:type="paragraph" w:styleId="af4">
    <w:name w:val="footer"/>
    <w:basedOn w:val="a"/>
    <w:uiPriority w:val="99"/>
    <w:unhideWhenUsed/>
    <w:rsid w:val="007F3BCA"/>
    <w:pPr>
      <w:tabs>
        <w:tab w:val="center" w:pos="4677"/>
        <w:tab w:val="right" w:pos="9355"/>
      </w:tabs>
    </w:pPr>
  </w:style>
  <w:style w:type="table" w:styleId="af5">
    <w:name w:val="Table Grid"/>
    <w:basedOn w:val="a1"/>
    <w:uiPriority w:val="59"/>
    <w:rsid w:val="00C51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dc:description>Документ экспортирован из системы ГАРАНТ</dc:description>
  <cp:lastModifiedBy>Ветлужских Андрей Олегович</cp:lastModifiedBy>
  <cp:revision>2</cp:revision>
  <cp:lastPrinted>2024-03-29T07:04:00Z</cp:lastPrinted>
  <dcterms:created xsi:type="dcterms:W3CDTF">2024-03-29T07:09:00Z</dcterms:created>
  <dcterms:modified xsi:type="dcterms:W3CDTF">2024-03-29T07:09:00Z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НПП "Гарант-Сервис"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